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645AE">
          <w:pPr>
            <w:rPr>
              <w:rFonts w:asciiTheme="minorHAnsi" w:hAnsiTheme="minorHAnsi" w:cs="Calibri"/>
              <w:sz w:val="24"/>
            </w:rPr>
          </w:pPr>
          <w:r w:rsidRPr="008645AE">
            <w:rPr>
              <w:rFonts w:asciiTheme="minorHAnsi" w:hAnsiTheme="minorHAnsi" w:cs="Calibri"/>
              <w:noProof/>
              <w:szCs w:val="20"/>
              <w:lang w:eastAsia="en-GB"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alt="Description: Button2" style="position:absolute;margin-left:320.7pt;margin-top:6.85pt;width:167.2pt;height:4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<v:textbox>
                  <w:txbxContent>
                    <w:p w:rsidR="00C85681" w:rsidRPr="00B84F6F" w:rsidRDefault="00C85681" w:rsidP="00B84F6F">
                      <w:pPr>
                        <w:textboxTightWrap w:val="allLines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Please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fill-in this word template, save </w:t>
                      </w:r>
                      <w:r w:rsid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it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and email to: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br/>
                      </w:r>
                      <w:hyperlink r:id="rId10" w:history="1">
                        <w:r w:rsidR="00202DAF" w:rsidRPr="009532B7">
                          <w:rPr>
                            <w:rStyle w:val="Hyperlink"/>
                            <w:rFonts w:ascii="Calibri" w:hAnsi="Calibri" w:cs="Calibri"/>
                            <w:b/>
                            <w:sz w:val="20"/>
                          </w:rPr>
                          <w:t>WPCReports@iucn.org</w:t>
                        </w:r>
                      </w:hyperlink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/>
          </w:tblPr>
          <w:tblGrid>
            <w:gridCol w:w="709"/>
            <w:gridCol w:w="4196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7F52AF">
                <w:pPr>
                  <w:tabs>
                    <w:tab w:val="right" w:pos="9572"/>
                  </w:tabs>
                  <w:spacing w:beforeLines="60" w:afterLines="60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Content>
                    <w:r w:rsidR="00507B3B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Stream 6</w:t>
                    </w:r>
                  </w:sdtContent>
                </w:sdt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</w:p>
            </w:tc>
          </w:tr>
          <w:tr w:rsidR="003A4ECA" w:rsidRPr="00001651" w:rsidTr="0033599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7F52AF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Content>
                    <w:r w:rsidR="00507B3B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Gregor Manson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7F52AF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Content>
                    <w:r w:rsidR="00507B3B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479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7F52AF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Content>
                    <w:r w:rsidR="00507B3B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Governace of Transboundary Areas Part 1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7F52AF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8645AE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Content>
                    <w:r w:rsidR="00360C59" w:rsidRPr="00360C5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An o</w:t>
                    </w:r>
                    <w:r w:rsidR="00FC3414" w:rsidRPr="00360C5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verview</w:t>
                    </w:r>
                    <w:r w:rsidR="00FC3414" w:rsidRPr="0001054D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of </w:t>
                    </w:r>
                    <w:r w:rsidR="00274D50" w:rsidRPr="0001054D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Trans</w:t>
                    </w:r>
                    <w:r w:rsidR="00274D50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Boundary Conservation Governance Key Principles and Concepts </w:t>
                    </w:r>
                    <w:r w:rsidR="00F45190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in the</w:t>
                    </w:r>
                    <w:r w:rsidR="00274D50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new </w:t>
                    </w:r>
                    <w:r w:rsidR="00274D50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WCPA  </w:t>
                    </w:r>
                    <w:r w:rsidR="00F45190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Trans Boundary </w:t>
                    </w:r>
                    <w:r w:rsidR="00274D50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Guideline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274D50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8205E1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(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t</w:t>
                    </w:r>
                    <w:r w:rsidR="00F45190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o 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b</w:t>
                    </w:r>
                    <w:r w:rsidR="00F45190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e 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p</w:t>
                    </w:r>
                    <w:r w:rsidR="00F45190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ublished)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274D50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2015 </w:t>
                    </w:r>
                    <w:r w:rsidR="00274D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-  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look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at 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power and responsibilities 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and stakeholder participation and describes the 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types of 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conservation 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governance 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as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government, private, indigenous and shared  - 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trans boundary refers to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national and sub national 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zones and</w:t>
                    </w:r>
                    <w:r w:rsidR="00F4519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has 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informal and formal arrangements – 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there </w:t>
                    </w:r>
                    <w:r w:rsidR="00F4519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is 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no single model </w:t>
                    </w:r>
                    <w:r w:rsidR="00F4519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however they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8205E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define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8205E1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key 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character elements </w:t>
                    </w:r>
                    <w:r w:rsid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as</w:t>
                    </w:r>
                    <w:r w:rsid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:</w:t>
                    </w:r>
                    <w:r w:rsidR="00EF57AB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8205E1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right </w:t>
                    </w:r>
                    <w:r w:rsidR="00FC3414" w:rsidRPr="00EF57AB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leadership , 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right </w:t>
                    </w:r>
                    <w:r w:rsidR="00FC3414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people, 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clarifying</w:t>
                    </w:r>
                    <w:r w:rsidR="00FC3414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purpose, level of authority and </w:t>
                    </w:r>
                    <w:r w:rsidR="00EF57AB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accountability, </w:t>
                    </w:r>
                    <w:r w:rsidR="00FC3414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learning</w:t>
                    </w:r>
                    <w:r w:rsidR="00EF57AB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,</w:t>
                    </w:r>
                    <w:r w:rsidR="00FC3414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decision </w:t>
                    </w:r>
                    <w:r w:rsidR="00EF57AB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making, 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adaptive management and financing</w:t>
                    </w:r>
                    <w:r w:rsidR="007F52AF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 and</w:t>
                    </w:r>
                    <w:r w:rsid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outlines types of leadership including pioneers/sponsors/thought</w:t>
                    </w:r>
                    <w:r w:rsidR="00EF57AB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makers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/netw</w:t>
                    </w:r>
                    <w:r w:rsidR="00EF57AB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orkers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/steward</w:t>
                    </w:r>
                    <w:r w:rsidR="00EF57AB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s</w:t>
                    </w:r>
                    <w:r w:rsidR="008205E1" w:rsidRPr="007F52A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/facilitators.</w:t>
                    </w:r>
                    <w:r w:rsidR="00FC341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8205E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Financing </w:t>
                    </w:r>
                    <w:r w:rsidR="00F4519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focus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es</w:t>
                    </w:r>
                    <w:r w:rsidR="00F4519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on </w:t>
                    </w:r>
                    <w:r w:rsidR="008205E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back office and on ground support –</w:t>
                    </w:r>
                    <w:r w:rsidR="008C51A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current identified </w:t>
                    </w:r>
                    <w:r w:rsidR="008205E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obstacles include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;</w:t>
                    </w:r>
                    <w:r w:rsidR="008205E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lack of public understanding 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of 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resources, lack of</w:t>
                    </w:r>
                    <w:r w:rsidR="008205E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compelling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stories,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</w:t>
                    </w:r>
                    <w:r w:rsidR="007F52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rust and capacity to integrate together with the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challenge 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to move from 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project </w:t>
                    </w:r>
                    <w:r w:rsidR="00F4519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thinking </w:t>
                    </w:r>
                    <w:r w:rsidR="00EF57A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to long term sustainable 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funding</w:t>
                    </w:r>
                    <w:r w:rsidR="008205E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274D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k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8645AE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Content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Key examples </w:t>
                    </w:r>
                    <w:r w:rsid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(</w:t>
                    </w:r>
                    <w:proofErr w:type="spellStart"/>
                    <w:r w:rsid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Waterton</w:t>
                    </w:r>
                    <w:proofErr w:type="spellEnd"/>
                    <w:r w:rsidR="0004657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/Glacier</w:t>
                    </w:r>
                    <w:r w:rsid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, </w:t>
                    </w:r>
                    <w:r w:rsidR="00360C5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SADC</w:t>
                    </w:r>
                    <w:r w:rsidR="0031245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, Himalaya</w:t>
                    </w:r>
                    <w:r w:rsidR="00BF09F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, EUROPARC</w:t>
                    </w:r>
                    <w:r w:rsidR="00A1198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,</w:t>
                    </w:r>
                    <w:r w:rsidR="00C77724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A1198F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Coral Triangle</w:t>
                    </w:r>
                    <w:r w:rsidR="005F412E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, Columbia</w:t>
                    </w:r>
                    <w:r w:rsid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) </w:t>
                    </w:r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demonstrate </w:t>
                    </w:r>
                    <w:r w:rsidR="00DC2C11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successful </w:t>
                    </w:r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application of </w:t>
                    </w:r>
                    <w:r w:rsidR="00DC2C11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key T</w:t>
                    </w:r>
                    <w:r w:rsidR="0031245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rans </w:t>
                    </w:r>
                    <w:proofErr w:type="gramStart"/>
                    <w:r w:rsidR="0031245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Boundary </w:t>
                    </w:r>
                    <w:r w:rsidR="00DC2C11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Governance</w:t>
                    </w:r>
                    <w:proofErr w:type="gramEnd"/>
                    <w:r w:rsid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DC2C11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principles using </w:t>
                    </w:r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different approaches </w:t>
                    </w:r>
                    <w:r w:rsidR="00360C5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to </w:t>
                    </w:r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ac</w:t>
                    </w:r>
                    <w:r w:rsidR="00DC2C11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h</w:t>
                    </w:r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i</w:t>
                    </w:r>
                    <w:r w:rsidR="00DC2C11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e</w:t>
                    </w:r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ve </w:t>
                    </w:r>
                    <w:r w:rsidR="00360C5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improved </w:t>
                    </w:r>
                    <w:r w:rsidR="008C51AE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long term conservation management</w:t>
                    </w:r>
                    <w:r w:rsidR="00360C59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360C5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in </w:t>
                    </w:r>
                    <w:r w:rsidR="00360C59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complex</w:t>
                    </w:r>
                    <w:r w:rsidR="00360C5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</w:t>
                    </w:r>
                    <w:r w:rsidR="00851DEE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ecological and </w:t>
                    </w:r>
                    <w:r w:rsidR="005601D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tenure </w:t>
                    </w:r>
                    <w:r w:rsidR="0031245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environments</w:t>
                    </w:r>
                    <w:r w:rsidR="00DC2C11" w:rsidRPr="00DC2C11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.</w:t>
                    </w:r>
                    <w:r w:rsidR="00DC2C1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8C51A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F156F" w:rsidRPr="00DC2C11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Wat</w:t>
                    </w:r>
                    <w:r w:rsidR="0001054D" w:rsidRPr="00DC2C11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e</w:t>
                    </w:r>
                    <w:r w:rsidR="007F156F" w:rsidRPr="00DC2C11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r</w:t>
                    </w:r>
                    <w:r w:rsidR="0001054D" w:rsidRPr="00DC2C11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ton</w:t>
                    </w:r>
                    <w:proofErr w:type="spellEnd"/>
                    <w:r w:rsidR="0001054D" w:rsidRPr="00DC2C11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/Glacier Peace Park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‘</w:t>
                    </w:r>
                    <w:r w:rsidR="007F15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roundtable at top of the continent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’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851DE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connecting social and ecological </w:t>
                    </w:r>
                    <w:r w:rsidR="00DC2C1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fields </w:t>
                    </w:r>
                    <w:r w:rsidR="007F15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-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scaling</w:t>
                    </w:r>
                    <w:r w:rsidR="007F15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up and scaling out to manage – how does it work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?</w:t>
                    </w:r>
                    <w:r w:rsidR="007F15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: annual gathering, governance based on culture/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community/</w:t>
                    </w:r>
                    <w:r w:rsidR="007F15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conservation </w:t>
                    </w:r>
                    <w:r w:rsidR="008C51A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–</w:t>
                    </w:r>
                    <w:r w:rsidR="007F156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8C51A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process of facilitation to move from awareness to action in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an </w:t>
                    </w:r>
                    <w:r w:rsidR="008C51A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adaptive management approach – </w:t>
                    </w:r>
                    <w:r w:rsidR="008C51AE" w:rsidRPr="00360C59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Southern Africa</w:t>
                    </w:r>
                    <w:r w:rsidR="008C51A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0105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</w:t>
                    </w:r>
                    <w:r w:rsidR="008C51A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(SADC TFCAs) </w:t>
                    </w:r>
                    <w:r w:rsidR="00DC2C1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- document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ed p</w:t>
                    </w:r>
                    <w:r w:rsidR="00DC2C1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lan for governance and implementation - </w:t>
                    </w:r>
                    <w:r w:rsidR="00274D5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key feature is 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establishing </w:t>
                    </w:r>
                    <w:r w:rsidR="005601D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feasibility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of approaches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before action and 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having the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ability to measure 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outcomes that is critical to sell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</w:t>
                    </w:r>
                    <w:r w:rsidR="00360C5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benefits</w:t>
                    </w:r>
                    <w:r w:rsidR="005601D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to all actors to maintain their engagement 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– </w:t>
                    </w:r>
                    <w:r w:rsidR="00312456" w:rsidRPr="005601D9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Himalayan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BF09F1" w:rsidRPr="00BF09F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(ICIMOD</w:t>
                    </w:r>
                    <w:r w:rsidR="00BF09F1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)</w:t>
                    </w:r>
                    <w:r w:rsidR="00BF09F1" w:rsidRPr="005601D9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 xml:space="preserve"> 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– landscape approach to inform stakeholders for discussion </w:t>
                    </w:r>
                    <w:r w:rsidR="005601D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–</w:t>
                    </w:r>
                    <w:r w:rsidR="0031245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5601D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outcomes are focused towards economic and ecological sustainability </w:t>
                    </w:r>
                    <w:r w:rsidR="00BF09F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– key achievement include conceptual acceptance of landscape approach , reconciling conservation and development</w:t>
                    </w:r>
                    <w:r w:rsidR="009B16E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="00AA4E62" w:rsidRPr="00AA4E62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Europarc</w:t>
                    </w:r>
                    <w:proofErr w:type="spellEnd"/>
                    <w:r w:rsidR="00AA4E62" w:rsidRPr="00AA4E62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 xml:space="preserve"> </w:t>
                    </w:r>
                    <w:r w:rsidR="00AA4E6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– criteria for effective measurement, active certification and verification, new </w:t>
                    </w:r>
                    <w:proofErr w:type="spellStart"/>
                    <w:r w:rsidR="00AA4E6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TransParcNet</w:t>
                    </w:r>
                    <w:proofErr w:type="spellEnd"/>
                    <w:r w:rsidR="00AA4E6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–</w:t>
                    </w:r>
                    <w:r w:rsidR="009B16E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C77724" w:rsidRPr="00C77724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Coral Triangle</w:t>
                    </w:r>
                    <w:r w:rsidR="00C7772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–complex biodiversity, bathometry, species proximity – challenges ecosystem management and management fatigue for new activities.</w:t>
                    </w:r>
                    <w:r w:rsidR="005F412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- </w:t>
                    </w:r>
                    <w:r w:rsidR="005F412E" w:rsidRPr="005F412E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Colombia/Peru</w:t>
                    </w:r>
                    <w:r w:rsidR="005F412E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/</w:t>
                    </w:r>
                    <w:r w:rsidR="009B16EA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Ecuador</w:t>
                    </w:r>
                    <w:r w:rsidR="005F412E" w:rsidRPr="005F412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Mayo river</w:t>
                    </w:r>
                    <w:r w:rsidR="005F412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9B16E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5F412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biome for focus</w:t>
                    </w:r>
                    <w:r w:rsidR="009B16E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– water shed focus - seven indigenous tribes – promoting new social governance schemes. </w:t>
                    </w:r>
                    <w:r w:rsidR="00DD3F5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K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8645AE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  <w:showingPlcHdr/>
                  </w:sdtPr>
                  <w:sdtContent>
                    <w:r w:rsidR="00781B07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B9581B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lastRenderedPageBreak/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A1198F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Marine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B17AD4" w:rsidRPr="00A07983" w:rsidTr="00D22C96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D22C96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7F52AF">
                <w:pPr>
                  <w:spacing w:beforeLines="50" w:afterLines="5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7F52AF">
                <w:pPr>
                  <w:spacing w:beforeLines="50" w:afterLines="5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9781"/>
          </w:tblGrid>
          <w:tr w:rsidR="00B17AD4" w:rsidRPr="00001651" w:rsidTr="00D22C96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C77D92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709"/>
            <w:gridCol w:w="6521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8645AE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  <w:showingPlcHdr/>
                  </w:sdtPr>
                  <w:sdtContent>
                    <w:r w:rsidR="007226C9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8645AE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8645AE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B9581B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7F52AF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BC08E1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7F52AF">
                <w:pPr>
                  <w:spacing w:beforeLines="50" w:afterLines="5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8645AE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1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6C" w:rsidRDefault="00BD276C" w:rsidP="00314E7E">
      <w:r>
        <w:separator/>
      </w:r>
    </w:p>
  </w:endnote>
  <w:endnote w:type="continuationSeparator" w:id="0">
    <w:p w:rsidR="00BD276C" w:rsidRDefault="00BD276C" w:rsidP="0031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35" w:rsidRDefault="008645AE">
    <w:pPr>
      <w:pStyle w:val="Footer"/>
      <w:jc w:val="center"/>
    </w:pPr>
    <w:r>
      <w:fldChar w:fldCharType="begin"/>
    </w:r>
    <w:r w:rsidR="00753C35">
      <w:instrText xml:space="preserve"> PAGE   \* MERGEFORMAT </w:instrText>
    </w:r>
    <w:r>
      <w:fldChar w:fldCharType="separate"/>
    </w:r>
    <w:r w:rsidR="00046576">
      <w:rPr>
        <w:noProof/>
      </w:rPr>
      <w:t>1</w:t>
    </w:r>
    <w:r>
      <w:fldChar w:fldCharType="end"/>
    </w:r>
  </w:p>
  <w:p w:rsidR="00C85681" w:rsidRPr="00596FF8" w:rsidRDefault="00C85681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6C" w:rsidRDefault="00BD276C" w:rsidP="00314E7E">
      <w:r>
        <w:separator/>
      </w:r>
    </w:p>
  </w:footnote>
  <w:footnote w:type="continuationSeparator" w:id="0">
    <w:p w:rsidR="00BD276C" w:rsidRDefault="00BD276C" w:rsidP="0031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6D3B"/>
    <w:rsid w:val="00001651"/>
    <w:rsid w:val="0001054D"/>
    <w:rsid w:val="000112BE"/>
    <w:rsid w:val="000303E3"/>
    <w:rsid w:val="0003150A"/>
    <w:rsid w:val="0003207C"/>
    <w:rsid w:val="00043131"/>
    <w:rsid w:val="00046576"/>
    <w:rsid w:val="00052FEB"/>
    <w:rsid w:val="0005374D"/>
    <w:rsid w:val="00060971"/>
    <w:rsid w:val="00066941"/>
    <w:rsid w:val="00066C11"/>
    <w:rsid w:val="00066F24"/>
    <w:rsid w:val="00090AA4"/>
    <w:rsid w:val="000B2D82"/>
    <w:rsid w:val="000C44C2"/>
    <w:rsid w:val="000E2388"/>
    <w:rsid w:val="000F009E"/>
    <w:rsid w:val="000F4176"/>
    <w:rsid w:val="001031B2"/>
    <w:rsid w:val="00111C63"/>
    <w:rsid w:val="0011483A"/>
    <w:rsid w:val="00117DEA"/>
    <w:rsid w:val="001336B1"/>
    <w:rsid w:val="0013793B"/>
    <w:rsid w:val="001424DE"/>
    <w:rsid w:val="00144548"/>
    <w:rsid w:val="00147484"/>
    <w:rsid w:val="00162B04"/>
    <w:rsid w:val="00166816"/>
    <w:rsid w:val="00172F0D"/>
    <w:rsid w:val="00196F35"/>
    <w:rsid w:val="001A2CBE"/>
    <w:rsid w:val="001A614C"/>
    <w:rsid w:val="001A70A8"/>
    <w:rsid w:val="001C31D0"/>
    <w:rsid w:val="001D6E8E"/>
    <w:rsid w:val="001F6B60"/>
    <w:rsid w:val="001F7F21"/>
    <w:rsid w:val="00202DAF"/>
    <w:rsid w:val="00203C67"/>
    <w:rsid w:val="00205B0D"/>
    <w:rsid w:val="00207D2A"/>
    <w:rsid w:val="00257379"/>
    <w:rsid w:val="002653DC"/>
    <w:rsid w:val="00265665"/>
    <w:rsid w:val="00266C44"/>
    <w:rsid w:val="00267583"/>
    <w:rsid w:val="00271DC2"/>
    <w:rsid w:val="00274D50"/>
    <w:rsid w:val="00275278"/>
    <w:rsid w:val="00284AC4"/>
    <w:rsid w:val="00286678"/>
    <w:rsid w:val="002D0DB0"/>
    <w:rsid w:val="002D7054"/>
    <w:rsid w:val="003121F8"/>
    <w:rsid w:val="00312456"/>
    <w:rsid w:val="00314E7E"/>
    <w:rsid w:val="003156BF"/>
    <w:rsid w:val="00324295"/>
    <w:rsid w:val="00340489"/>
    <w:rsid w:val="00344D1F"/>
    <w:rsid w:val="00360C59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4251F3"/>
    <w:rsid w:val="004278D6"/>
    <w:rsid w:val="00431C41"/>
    <w:rsid w:val="0045174B"/>
    <w:rsid w:val="00476A82"/>
    <w:rsid w:val="004917F2"/>
    <w:rsid w:val="00492991"/>
    <w:rsid w:val="004B0EF2"/>
    <w:rsid w:val="004B79A5"/>
    <w:rsid w:val="004C2699"/>
    <w:rsid w:val="004C764B"/>
    <w:rsid w:val="004D55C2"/>
    <w:rsid w:val="004F2F89"/>
    <w:rsid w:val="0050555B"/>
    <w:rsid w:val="00507B3B"/>
    <w:rsid w:val="005213A1"/>
    <w:rsid w:val="00524AAF"/>
    <w:rsid w:val="00540DE5"/>
    <w:rsid w:val="00540F1B"/>
    <w:rsid w:val="00554BC2"/>
    <w:rsid w:val="00556034"/>
    <w:rsid w:val="00556AED"/>
    <w:rsid w:val="005601D9"/>
    <w:rsid w:val="005703A2"/>
    <w:rsid w:val="00572D82"/>
    <w:rsid w:val="00577D60"/>
    <w:rsid w:val="00596FF8"/>
    <w:rsid w:val="005A1BA5"/>
    <w:rsid w:val="005A609B"/>
    <w:rsid w:val="005B05B6"/>
    <w:rsid w:val="005D739E"/>
    <w:rsid w:val="005E1BB6"/>
    <w:rsid w:val="005F2813"/>
    <w:rsid w:val="005F412E"/>
    <w:rsid w:val="005F73D2"/>
    <w:rsid w:val="006005DA"/>
    <w:rsid w:val="00601FF4"/>
    <w:rsid w:val="00616F8A"/>
    <w:rsid w:val="00620FA1"/>
    <w:rsid w:val="00624BD4"/>
    <w:rsid w:val="00642ACF"/>
    <w:rsid w:val="00645AC2"/>
    <w:rsid w:val="00650817"/>
    <w:rsid w:val="0067333D"/>
    <w:rsid w:val="00674254"/>
    <w:rsid w:val="006873FF"/>
    <w:rsid w:val="006A619E"/>
    <w:rsid w:val="006C6229"/>
    <w:rsid w:val="006C63A1"/>
    <w:rsid w:val="006D102D"/>
    <w:rsid w:val="006D5E01"/>
    <w:rsid w:val="006D67F5"/>
    <w:rsid w:val="006F1761"/>
    <w:rsid w:val="00705339"/>
    <w:rsid w:val="00710961"/>
    <w:rsid w:val="00716CAE"/>
    <w:rsid w:val="007226C9"/>
    <w:rsid w:val="00736F1D"/>
    <w:rsid w:val="00737CF4"/>
    <w:rsid w:val="00753C35"/>
    <w:rsid w:val="00753DAC"/>
    <w:rsid w:val="007567D5"/>
    <w:rsid w:val="00775196"/>
    <w:rsid w:val="00781B07"/>
    <w:rsid w:val="007850B0"/>
    <w:rsid w:val="00790FD8"/>
    <w:rsid w:val="00797536"/>
    <w:rsid w:val="007A4360"/>
    <w:rsid w:val="007B6D50"/>
    <w:rsid w:val="007C6DE4"/>
    <w:rsid w:val="007D044C"/>
    <w:rsid w:val="007D0D77"/>
    <w:rsid w:val="007E203D"/>
    <w:rsid w:val="007F156F"/>
    <w:rsid w:val="007F52AF"/>
    <w:rsid w:val="00801A50"/>
    <w:rsid w:val="00803DFC"/>
    <w:rsid w:val="008157B8"/>
    <w:rsid w:val="008205E1"/>
    <w:rsid w:val="008239FC"/>
    <w:rsid w:val="00824581"/>
    <w:rsid w:val="008316C5"/>
    <w:rsid w:val="00832B61"/>
    <w:rsid w:val="00851289"/>
    <w:rsid w:val="00851DEE"/>
    <w:rsid w:val="00852303"/>
    <w:rsid w:val="008645AE"/>
    <w:rsid w:val="0086640A"/>
    <w:rsid w:val="00872CD9"/>
    <w:rsid w:val="0087485F"/>
    <w:rsid w:val="00887BF2"/>
    <w:rsid w:val="008A3F03"/>
    <w:rsid w:val="008B11F2"/>
    <w:rsid w:val="008B75E2"/>
    <w:rsid w:val="008C51AE"/>
    <w:rsid w:val="008C7926"/>
    <w:rsid w:val="008D3E37"/>
    <w:rsid w:val="008D51C2"/>
    <w:rsid w:val="008D7D03"/>
    <w:rsid w:val="008E4940"/>
    <w:rsid w:val="008F5220"/>
    <w:rsid w:val="008F74D0"/>
    <w:rsid w:val="00903EC2"/>
    <w:rsid w:val="0090686C"/>
    <w:rsid w:val="009112BA"/>
    <w:rsid w:val="0091480F"/>
    <w:rsid w:val="00914919"/>
    <w:rsid w:val="009219FF"/>
    <w:rsid w:val="00964671"/>
    <w:rsid w:val="0097028C"/>
    <w:rsid w:val="0098283F"/>
    <w:rsid w:val="00990D65"/>
    <w:rsid w:val="009B1032"/>
    <w:rsid w:val="009B16EA"/>
    <w:rsid w:val="009C1657"/>
    <w:rsid w:val="009C3330"/>
    <w:rsid w:val="00A07983"/>
    <w:rsid w:val="00A1198F"/>
    <w:rsid w:val="00A169BE"/>
    <w:rsid w:val="00A213E2"/>
    <w:rsid w:val="00A71269"/>
    <w:rsid w:val="00A93721"/>
    <w:rsid w:val="00A93B0F"/>
    <w:rsid w:val="00AA4E62"/>
    <w:rsid w:val="00AB5A8E"/>
    <w:rsid w:val="00B06FD3"/>
    <w:rsid w:val="00B17AD4"/>
    <w:rsid w:val="00B36871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B46DB"/>
    <w:rsid w:val="00BC211F"/>
    <w:rsid w:val="00BD18F4"/>
    <w:rsid w:val="00BD225E"/>
    <w:rsid w:val="00BD276C"/>
    <w:rsid w:val="00BD5B4B"/>
    <w:rsid w:val="00BD7F30"/>
    <w:rsid w:val="00BE40AE"/>
    <w:rsid w:val="00BE45A4"/>
    <w:rsid w:val="00BE469F"/>
    <w:rsid w:val="00BF09F1"/>
    <w:rsid w:val="00BF529C"/>
    <w:rsid w:val="00C151D8"/>
    <w:rsid w:val="00C37D6B"/>
    <w:rsid w:val="00C60E65"/>
    <w:rsid w:val="00C64DBC"/>
    <w:rsid w:val="00C665F5"/>
    <w:rsid w:val="00C72102"/>
    <w:rsid w:val="00C75D6D"/>
    <w:rsid w:val="00C77724"/>
    <w:rsid w:val="00C80AC1"/>
    <w:rsid w:val="00C85681"/>
    <w:rsid w:val="00CB444F"/>
    <w:rsid w:val="00CB5DD7"/>
    <w:rsid w:val="00CD161E"/>
    <w:rsid w:val="00CE1E37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4227E"/>
    <w:rsid w:val="00D52139"/>
    <w:rsid w:val="00D60D89"/>
    <w:rsid w:val="00D7027C"/>
    <w:rsid w:val="00D8031D"/>
    <w:rsid w:val="00D87CB4"/>
    <w:rsid w:val="00DA4D10"/>
    <w:rsid w:val="00DB7BD6"/>
    <w:rsid w:val="00DC2C11"/>
    <w:rsid w:val="00DC56D7"/>
    <w:rsid w:val="00DC5875"/>
    <w:rsid w:val="00DD3F5B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6D3B"/>
    <w:rsid w:val="00EF57AB"/>
    <w:rsid w:val="00EF6924"/>
    <w:rsid w:val="00F24AEE"/>
    <w:rsid w:val="00F45190"/>
    <w:rsid w:val="00FB755C"/>
    <w:rsid w:val="00FC3414"/>
    <w:rsid w:val="00FD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919"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rsid w:val="00914919"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sid w:val="00914919"/>
    <w:rPr>
      <w:b w:val="0"/>
      <w:bCs w:val="0"/>
    </w:rPr>
  </w:style>
  <w:style w:type="paragraph" w:customStyle="1" w:styleId="New">
    <w:name w:val="New"/>
    <w:basedOn w:val="Heading1"/>
    <w:next w:val="Normal"/>
    <w:rsid w:val="00914919"/>
    <w:rPr>
      <w:b w:val="0"/>
      <w:bCs w:val="0"/>
    </w:rPr>
  </w:style>
  <w:style w:type="paragraph" w:styleId="BodyText">
    <w:name w:val="Body Text"/>
    <w:basedOn w:val="Normal"/>
    <w:rsid w:val="00914919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rsid w:val="0091491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sid w:val="00914919"/>
    <w:rPr>
      <w:vertAlign w:val="superscript"/>
    </w:rPr>
  </w:style>
  <w:style w:type="paragraph" w:styleId="FootnoteText">
    <w:name w:val="footnote text"/>
    <w:basedOn w:val="Normal"/>
    <w:semiHidden/>
    <w:rsid w:val="00914919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491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WPCReports@iuc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3E4823" w:rsidP="003E4823">
          <w:pPr>
            <w:pStyle w:val="EF77EEFC25B7425FA666C08BB4236FA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3E4823" w:rsidP="003E4823">
          <w:pPr>
            <w:pStyle w:val="1CD33726576E4A188AC71CF76EA2D4F1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3E4823" w:rsidP="003E4823">
          <w:pPr>
            <w:pStyle w:val="E18264AFC8774E5B9161A8BCA1B3E41C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3E4823" w:rsidP="003E4823">
          <w:pPr>
            <w:pStyle w:val="0580923F74304FBB9B44D8E6739BACB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3E4823" w:rsidP="003E4823">
          <w:pPr>
            <w:pStyle w:val="95A714C4E35D4A4CB7E00216BF02597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3E4823" w:rsidP="003E4823">
          <w:pPr>
            <w:pStyle w:val="AD1BFCD689AE484CA9A69FA1FF1E2423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3E4823" w:rsidP="003E4823">
          <w:pPr>
            <w:pStyle w:val="FA9BD632A746426FB11FCB3A2B1CC27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3E4823" w:rsidP="003E4823">
          <w:pPr>
            <w:pStyle w:val="166A69DFFB65421E885F973CEFA438A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3E4823" w:rsidP="003E4823">
          <w:pPr>
            <w:pStyle w:val="137A31CE93B848AEA5A9CC839C5A780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3E4823" w:rsidP="003E4823">
          <w:pPr>
            <w:pStyle w:val="5A5EB7FFDE564FA59E446BAABE7A1CA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3E4823" w:rsidP="003E4823">
          <w:pPr>
            <w:pStyle w:val="FAE3FE4B758142DA88CA797D4A6BB7D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3E4823" w:rsidP="003E4823">
          <w:pPr>
            <w:pStyle w:val="25EDFC880C2A4A92913802FE0CA02ED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3E4823" w:rsidP="003E4823">
          <w:pPr>
            <w:pStyle w:val="215F3691EF5F4D0189D9251F3F741899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3E4823" w:rsidP="003E4823">
          <w:pPr>
            <w:pStyle w:val="FAA9A162B19B4E9B9C7C62EC0F5F0F4E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3E4823" w:rsidP="003E4823">
          <w:pPr>
            <w:pStyle w:val="58A9130DF40D4E378DF7C1CAF37691A2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3E4823" w:rsidP="003E4823">
          <w:pPr>
            <w:pStyle w:val="E0A8A7A16C754BC5B9E205B67AE5BAF416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3E4823" w:rsidP="003E4823">
          <w:pPr>
            <w:pStyle w:val="52924C6584A34922B01FA55841FFC62C15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3E4823" w:rsidP="003E4823">
          <w:pPr>
            <w:pStyle w:val="71CB5B699D7D476FB19EAB593E59342B13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3E4823" w:rsidP="003E4823">
          <w:pPr>
            <w:pStyle w:val="2620BDA7739F4727AFCB9D5772D80AC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3E4823" w:rsidP="003E4823">
          <w:pPr>
            <w:pStyle w:val="FF7B8FB92BB14CE180CAD0964AA5080E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3E4823" w:rsidP="003E4823">
          <w:pPr>
            <w:pStyle w:val="DD423A9635064FC99CFF6E78BAA90453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3E4823" w:rsidP="003E4823">
          <w:pPr>
            <w:pStyle w:val="9E234753AC8249978E315D9D02AAE07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3E4823" w:rsidP="003E4823">
          <w:pPr>
            <w:pStyle w:val="797F7FA47C5E4F76AB5009533FFB56AF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3E4823" w:rsidP="003E4823">
          <w:pPr>
            <w:pStyle w:val="EB97380198E9436BB138D2F27313FA1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3E4823" w:rsidP="003E4823">
          <w:pPr>
            <w:pStyle w:val="D0D659605AC3438FAC661CC503ED090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3941"/>
    <w:rsid w:val="00041F2C"/>
    <w:rsid w:val="000A2DF3"/>
    <w:rsid w:val="00123B1B"/>
    <w:rsid w:val="00141666"/>
    <w:rsid w:val="00214F0F"/>
    <w:rsid w:val="003E4823"/>
    <w:rsid w:val="003E5EE4"/>
    <w:rsid w:val="00507361"/>
    <w:rsid w:val="00514C34"/>
    <w:rsid w:val="00541F95"/>
    <w:rsid w:val="007D6109"/>
    <w:rsid w:val="00843B30"/>
    <w:rsid w:val="008B45AD"/>
    <w:rsid w:val="00964AB0"/>
    <w:rsid w:val="00A00357"/>
    <w:rsid w:val="00AD05FD"/>
    <w:rsid w:val="00BF5AE7"/>
    <w:rsid w:val="00CA04DD"/>
    <w:rsid w:val="00D01FFE"/>
    <w:rsid w:val="00D33941"/>
    <w:rsid w:val="00DF1436"/>
    <w:rsid w:val="00DF4B4C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8D8A2-7585-4A96-ADF7-72AB12CB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</Template>
  <TotalTime>118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IUCN</Company>
  <LinksUpToDate>false</LinksUpToDate>
  <CharactersWithSpaces>4283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A11788</cp:lastModifiedBy>
  <cp:revision>4</cp:revision>
  <cp:lastPrinted>2014-09-24T08:31:00Z</cp:lastPrinted>
  <dcterms:created xsi:type="dcterms:W3CDTF">2014-11-17T02:23:00Z</dcterms:created>
  <dcterms:modified xsi:type="dcterms:W3CDTF">2014-11-17T04:54:00Z</dcterms:modified>
</cp:coreProperties>
</file>